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8"/>
        <w:contextualSpacing/>
        <w:jc w:val="center"/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3423479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8207" cy="638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828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/>
    </w:p>
    <w:p>
      <w:pPr>
        <w:pStyle w:val="828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/>
    </w:p>
    <w:p>
      <w:pPr>
        <w:pStyle w:val="828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/>
    </w:p>
    <w:p>
      <w:pPr>
        <w:pStyle w:val="828"/>
        <w:contextualSpacing/>
        <w:jc w:val="center"/>
        <w:tabs>
          <w:tab w:val="left" w:pos="720" w:leader="none"/>
        </w:tabs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/>
    </w:p>
    <w:p>
      <w:pPr>
        <w:pStyle w:val="828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/>
    </w:p>
    <w:p>
      <w:pPr>
        <w:pStyle w:val="828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/>
    </w:p>
    <w:p>
      <w:pPr>
        <w:pStyle w:val="828"/>
        <w:ind w:right="21"/>
        <w:tabs>
          <w:tab w:val="left" w:pos="9900" w:leader="none"/>
        </w:tabs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619-т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36"/>
        <w:ind w:right="228" w:firstLine="0"/>
        <w:jc w:val="center"/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/>
    </w:p>
    <w:p>
      <w:pPr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contextualSpacing/>
        <w:jc w:val="left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  <w:highlight w:val="none"/>
        </w:rPr>
      </w:r>
      <w:r/>
    </w:p>
    <w:p>
      <w:pPr>
        <w:pStyle w:val="851"/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/>
    </w:p>
    <w:p>
      <w:pPr>
        <w:pStyle w:val="851"/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/>
    </w:p>
    <w:p>
      <w:pPr>
        <w:pStyle w:val="851"/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/>
    </w:p>
    <w:p>
      <w:pPr>
        <w:pStyle w:val="828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28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в приложение № 1 к приказу департамента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Ямало-Ненецкого автономного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округа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pStyle w:val="828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от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11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декабря 20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20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238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-т</w:t>
      </w:r>
      <w:r>
        <w:rPr>
          <w:rFonts w:ascii="Liberation Sans" w:hAnsi="Liberation Sans" w:cs="Liberation Sans"/>
        </w:rPr>
      </w:r>
      <w:r/>
    </w:p>
    <w:p>
      <w:pPr>
        <w:pStyle w:val="828"/>
        <w:ind w:firstLine="0"/>
        <w:jc w:val="left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2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цкого 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втономного округа»          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2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28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е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изменени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е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котор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е внос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тся </w:t>
        <w:br/>
        <w:t xml:space="preserve">в 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приложение № 1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к приказу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департамента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от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11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декабря 20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20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года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№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238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Об установ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лении филиалу акционерного общества «Ямалкоммунэнерго» в Приуральском районе тарифов на питьевую воду для расчетов с потребителями села Белоярск муниципального образования муниципальный округ Приуральский район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на 2021 - 2025 годы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».</w:t>
      </w:r>
      <w:r>
        <w:rPr>
          <w:rFonts w:ascii="Liberation Sans" w:hAnsi="Liberation Sans" w:cs="Liberation Sans"/>
        </w:rPr>
      </w:r>
      <w:r/>
    </w:p>
    <w:p>
      <w:pPr>
        <w:pStyle w:val="833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3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3"/>
        <w:ind w:firstLine="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51"/>
        <w:ind w:left="-142" w:firstLine="0"/>
      </w:pPr>
      <w:r>
        <w:rPr>
          <w:rFonts w:ascii="Liberation Sans" w:hAnsi="Liberation Sans" w:cs="Liberation Sans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тарифной </w:t>
      </w:r>
      <w:r/>
    </w:p>
    <w:p>
      <w:pPr>
        <w:pStyle w:val="851"/>
        <w:ind w:left="-142" w:firstLine="0"/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/>
    </w:p>
    <w:p>
      <w:pPr>
        <w:pStyle w:val="851"/>
        <w:ind w:left="-142" w:firstLine="0"/>
        <w:rPr>
          <w:rFonts w:ascii="Liberation Sans" w:hAnsi="Liberation Sans" w:eastAsia="Liberation Serif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</w:r>
      <w:r/>
    </w:p>
    <w:p>
      <w:pPr>
        <w:ind w:left="-142" w:firstLine="0"/>
        <w:rPr>
          <w:rFonts w:ascii="Liberation Sans" w:hAnsi="Liberation Sans" w:eastAsia="Liberation Serif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Д.Н. Афанасьев</w:t>
      </w:r>
      <w:r>
        <w:rPr>
          <w:rFonts w:ascii="Liberation Sans" w:hAnsi="Liberation Sans" w:eastAsia="Liberation Serif" w:cs="Liberation Sans"/>
          <w:sz w:val="28"/>
          <w:szCs w:val="28"/>
        </w:rPr>
      </w:r>
      <w:r/>
    </w:p>
    <w:p>
      <w:pPr>
        <w:pStyle w:val="828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УТВЕРЖДЕНО</w:t>
      </w:r>
      <w:r/>
    </w:p>
    <w:p>
      <w:pPr>
        <w:pStyle w:val="828"/>
        <w:ind w:left="8789"/>
      </w:pPr>
      <w:r>
        <w:rPr>
          <w:rFonts w:ascii="Liberation Sans" w:hAnsi="Liberation Sans" w:eastAsia="Liberation Serif" w:cs="Liberation Sans"/>
          <w:sz w:val="24"/>
          <w:szCs w:val="26"/>
          <w:highlight w:val="none"/>
        </w:rPr>
      </w:r>
      <w:r/>
    </w:p>
    <w:p>
      <w:pPr>
        <w:pStyle w:val="828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приказом департамента тарифной политики, энергетики и  жилищно-коммунального комплекса</w:t>
      </w:r>
      <w:r/>
    </w:p>
    <w:p>
      <w:pPr>
        <w:pStyle w:val="828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Ямало-Ненецкого автономного округа </w:t>
      </w:r>
      <w:r/>
    </w:p>
    <w:p>
      <w:pPr>
        <w:pStyle w:val="828"/>
        <w:ind w:left="8789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619-т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pStyle w:val="833"/>
        <w:ind w:firstLine="0"/>
      </w:pPr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pStyle w:val="833"/>
        <w:ind w:firstLine="0"/>
        <w:jc w:val="center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ИЗМЕНЕНИЕ,</w:t>
      </w:r>
      <w:r/>
    </w:p>
    <w:p>
      <w:pPr>
        <w:pStyle w:val="833"/>
        <w:ind w:firstLine="0"/>
        <w:jc w:val="center"/>
        <w:rPr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которое вносится в приложение № 1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</w:t>
      </w:r>
      <w:r>
        <w:rPr>
          <w:rFonts w:ascii="Liberation Sans" w:hAnsi="Liberation Sans" w:eastAsia="Liberation Serif" w:cs="Liberation Sans"/>
          <w:b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департамента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от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11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декабря 20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20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года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№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238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-т</w:t>
      </w:r>
      <w:r>
        <w:rPr>
          <w:sz w:val="24"/>
          <w:szCs w:val="24"/>
        </w:rPr>
      </w:r>
      <w:r/>
    </w:p>
    <w:p>
      <w:pPr>
        <w:pStyle w:val="833"/>
        <w:ind w:firstLine="0"/>
        <w:jc w:val="center"/>
      </w:pPr>
      <w:r>
        <w:rPr>
          <w:rFonts w:ascii="Liberation Sans" w:hAnsi="Liberation Sans" w:cs="Liberation Sans"/>
          <w:sz w:val="24"/>
          <w:szCs w:val="28"/>
        </w:rPr>
      </w:r>
      <w:r/>
    </w:p>
    <w:p>
      <w:pPr>
        <w:ind w:left="0" w:firstLine="708"/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eastAsia="Liberation Serif" w:cs="Liberation Sans"/>
          <w:sz w:val="24"/>
        </w:rPr>
        <w:t xml:space="preserve">Приложение № </w:t>
      </w:r>
      <w:r>
        <w:rPr>
          <w:rFonts w:ascii="Liberation Sans" w:hAnsi="Liberation Sans" w:eastAsia="Liberation Serif" w:cs="Liberation Sans"/>
          <w:sz w:val="24"/>
        </w:rPr>
        <w:t xml:space="preserve">1</w:t>
      </w:r>
      <w:r>
        <w:rPr>
          <w:rFonts w:ascii="Liberation Sans" w:hAnsi="Liberation Sans" w:eastAsia="Liberation Serif" w:cs="Liberation Sans"/>
          <w:sz w:val="24"/>
        </w:rPr>
        <w:t xml:space="preserve"> изложить в следующей редакции:</w:t>
      </w:r>
      <w:r>
        <w:rPr>
          <w:rFonts w:ascii="Liberation Sans" w:hAnsi="Liberation Sans" w:eastAsia="Liberation Serif" w:cs="Liberation Sans"/>
          <w:sz w:val="24"/>
        </w:rPr>
        <w:t xml:space="preserve"> </w:t>
      </w:r>
      <w:r/>
    </w:p>
    <w:p>
      <w:pPr>
        <w:ind w:left="9354" w:right="0" w:firstLine="0"/>
      </w:pPr>
      <w:r>
        <w:rPr>
          <w:rFonts w:ascii="Liberation Sans" w:hAnsi="Liberation Sans" w:eastAsia="Liberation Serif" w:cs="Liberation Sans"/>
          <w:sz w:val="24"/>
        </w:rPr>
        <w:t xml:space="preserve">«Приложение № 1</w:t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  <w:highlight w:val="none"/>
        </w:rPr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</w:t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энергетики и жилищно-коммунального комплекса </w:t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Ямало-Ненецкого автономного округа </w:t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от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11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декабря 20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20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года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№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238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sz w:val="24"/>
        </w:rPr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(в редакции приказа департамента тарифной политики, энергетики и жилищно-коммунального комплекса Ямало-Ненецкого автономного округа </w:t>
      </w:r>
      <w:r/>
    </w:p>
    <w:p>
      <w:pPr>
        <w:ind w:left="10065" w:hanging="709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619-т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</w:rPr>
        <w:t xml:space="preserve">)</w:t>
      </w:r>
      <w:r/>
    </w:p>
    <w:p>
      <w:pPr>
        <w:pStyle w:val="828"/>
        <w:ind w:left="0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  <w:r/>
    </w:p>
    <w:p>
      <w:pPr>
        <w:pStyle w:val="828"/>
        <w:jc w:val="center"/>
        <w:rPr>
          <w:rFonts w:ascii="Liberation Sans" w:hAnsi="Liberation Sans" w:cs="Liberation Sans"/>
          <w:sz w:val="24"/>
        </w:rPr>
        <w:outlineLvl w:val="0"/>
      </w:pPr>
      <w:r>
        <w:rPr>
          <w:rFonts w:ascii="Liberation Sans" w:hAnsi="Liberation Sans" w:eastAsia="Liberation Serif" w:cs="Liberation Sans"/>
          <w:sz w:val="24"/>
        </w:rPr>
        <w:t xml:space="preserve">ТАРИФЫ НА ПИТЬЕВУЮ ВОДУ, УСТАНОВЛЕННЫЕ ФИЛИАЛУ АКЦИОНЕРНОГО ОБЩЕСТВА «ЯМАЛКОММУНЭНЕРГО» </w:t>
      </w:r>
      <w:r>
        <w:rPr>
          <w:rFonts w:ascii="Liberation Sans" w:hAnsi="Liberation Sans" w:eastAsia="Liberation Serif" w:cs="Liberation Sans"/>
          <w:sz w:val="24"/>
        </w:rPr>
        <w:br/>
      </w:r>
      <w:r>
        <w:rPr>
          <w:rFonts w:ascii="Liberation Sans" w:hAnsi="Liberation Sans" w:eastAsia="Liberation Serif" w:cs="Liberation Sans"/>
          <w:sz w:val="24"/>
        </w:rPr>
        <w:t xml:space="preserve">В ПРИУРАЛЬСКОМ РАЙОНЕ ДЛЯ РАСЧЕТОВ С </w:t>
      </w:r>
      <w:r>
        <w:rPr>
          <w:rFonts w:ascii="Liberation Sans" w:hAnsi="Liberation Sans" w:eastAsia="Liberation Serif" w:cs="Liberation Sans"/>
          <w:bCs/>
          <w:sz w:val="24"/>
        </w:rPr>
        <w:t xml:space="preserve">ПОТРЕБИТЕЛЯМИ СЕЛА БЕЛОЯРСК МУНИЦИПАЛЬНОГО ОБРАЗОВАНИЯ </w:t>
      </w:r>
      <w:r>
        <w:rPr>
          <w:rFonts w:ascii="Liberation Sans" w:hAnsi="Liberation Sans" w:eastAsia="Liberation Serif" w:cs="Liberation Sans"/>
          <w:sz w:val="24"/>
        </w:rPr>
        <w:t xml:space="preserve">МУНИ</w:t>
      </w:r>
      <w:r>
        <w:rPr>
          <w:rFonts w:ascii="Liberation Sans" w:hAnsi="Liberation Sans" w:eastAsia="Liberation Serif" w:cs="Liberation Sans"/>
          <w:sz w:val="24"/>
        </w:rPr>
        <w:t xml:space="preserve">ЦИПАЛЬНЫЙ ОКРУГ ПР</w:t>
      </w:r>
      <w:r>
        <w:rPr>
          <w:rFonts w:ascii="Liberation Sans" w:hAnsi="Liberation Sans" w:eastAsia="Liberation Serif" w:cs="Liberation Sans"/>
          <w:sz w:val="24"/>
        </w:rPr>
        <w:t xml:space="preserve">ИУРАЛЬСКИЙ РАЙОН ЯМАЛО-НЕНЕЦКОГО АВТОНОМНОГО ОКРУГА</w:t>
      </w:r>
      <w:r>
        <w:rPr>
          <w:rFonts w:ascii="Liberation Sans" w:hAnsi="Liberation Sans" w:eastAsia="Liberation Serif" w:cs="Liberation Sans"/>
          <w:sz w:val="24"/>
        </w:rPr>
        <w:t xml:space="preserve">, НА 2021 - 2025 ГОДЫ</w:t>
      </w:r>
      <w:r>
        <w:rPr>
          <w:rFonts w:ascii="Liberation Sans" w:hAnsi="Liberation Sans" w:cs="Liberation Sans"/>
        </w:rPr>
      </w:r>
      <w:r/>
    </w:p>
    <w:p>
      <w:pPr>
        <w:pStyle w:val="828"/>
        <w:jc w:val="right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eastAsia="Liberation Serif" w:cs="Liberation Sans"/>
          <w:sz w:val="24"/>
          <w:highlight w:val="none"/>
        </w:rPr>
      </w:r>
      <w:r/>
    </w:p>
    <w:p>
      <w:pPr>
        <w:pStyle w:val="828"/>
        <w:jc w:val="right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eastAsia="Liberation Serif" w:cs="Liberation Sans"/>
          <w:sz w:val="24"/>
          <w:highlight w:val="none"/>
        </w:rPr>
      </w:r>
      <w:r/>
    </w:p>
    <w:p>
      <w:pPr>
        <w:pStyle w:val="828"/>
        <w:jc w:val="right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</w:rPr>
        <w:t xml:space="preserve">Таблица 1</w:t>
      </w:r>
      <w:r>
        <w:rPr>
          <w:rFonts w:ascii="Liberation Sans" w:hAnsi="Liberation Sans" w:cs="Liberation Sans"/>
        </w:rPr>
      </w:r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59"/>
        <w:gridCol w:w="6661"/>
        <w:gridCol w:w="730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top"/>
            <w:textDirection w:val="lrTb"/>
            <w:noWrap w:val="false"/>
          </w:tcPr>
          <w:p>
            <w:pPr>
              <w:pStyle w:val="828"/>
              <w:jc w:val="center"/>
              <w:rPr>
                <w:rFonts w:ascii="Liberation Sans" w:hAnsi="Liberation Sans" w:eastAsia="Liberation Serif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  <w:p>
            <w:pPr>
              <w:pStyle w:val="828"/>
              <w:jc w:val="center"/>
              <w:rPr>
                <w:rFonts w:ascii="Liberation Sans" w:hAnsi="Liberation Sans" w:eastAsia="Liberation Serif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1" w:type="dxa"/>
            <w:vAlign w:val="top"/>
            <w:textDirection w:val="lrTb"/>
            <w:noWrap w:val="false"/>
          </w:tcPr>
          <w:p>
            <w:pPr>
              <w:pStyle w:val="828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Потребители, оплачивающие</w:t>
              <w:br/>
              <w:t xml:space="preserve">услуги систем водоснабжения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8" w:type="dxa"/>
            <w:vAlign w:val="top"/>
            <w:textDirection w:val="lrTb"/>
            <w:noWrap w:val="false"/>
          </w:tcPr>
          <w:p>
            <w:pPr>
              <w:pStyle w:val="828"/>
              <w:ind w:firstLine="54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Тариф на питьевую воду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top"/>
            <w:textDirection w:val="lrTb"/>
            <w:noWrap w:val="false"/>
          </w:tcPr>
          <w:p>
            <w:pPr>
              <w:pStyle w:val="828"/>
              <w:jc w:val="center"/>
              <w:rPr>
                <w:rFonts w:ascii="Liberation Sans" w:hAnsi="Liberation Sans" w:eastAsia="Liberation Serif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1" w:type="dxa"/>
            <w:vAlign w:val="top"/>
            <w:textDirection w:val="lrTb"/>
            <w:noWrap w:val="false"/>
          </w:tcPr>
          <w:p>
            <w:pPr>
              <w:pStyle w:val="828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8" w:type="dxa"/>
            <w:vAlign w:val="top"/>
            <w:textDirection w:val="lrTb"/>
            <w:noWrap w:val="false"/>
          </w:tcPr>
          <w:p>
            <w:pPr>
              <w:pStyle w:val="828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9" w:type="dxa"/>
            <w:vAlign w:val="top"/>
            <w:vMerge w:val="restart"/>
            <w:textDirection w:val="lrTb"/>
            <w:noWrap w:val="false"/>
          </w:tcPr>
          <w:p>
            <w:pPr>
              <w:pStyle w:val="82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661" w:type="dxa"/>
            <w:vAlign w:val="top"/>
            <w:vMerge w:val="restart"/>
            <w:textDirection w:val="lrTb"/>
            <w:noWrap w:val="false"/>
          </w:tcPr>
          <w:p>
            <w:pPr>
              <w:pStyle w:val="828"/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pStyle w:val="828"/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8" w:type="dxa"/>
            <w:vAlign w:val="center"/>
            <w:textDirection w:val="lrTb"/>
            <w:noWrap w:val="false"/>
          </w:tcPr>
          <w:p>
            <w:pPr>
              <w:pStyle w:val="828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01.01.2021 по 30.06.2021 – 953,48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8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.2021 по 31.12.202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 – 1214,54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661" w:type="dxa"/>
            <w:vAlign w:val="top"/>
            <w:vMerge w:val="continue"/>
            <w:textDirection w:val="lrTb"/>
            <w:noWrap w:val="false"/>
          </w:tcPr>
          <w:p>
            <w:pPr>
              <w:pStyle w:val="8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8" w:type="dxa"/>
            <w:vAlign w:val="center"/>
            <w:textDirection w:val="lrTb"/>
            <w:noWrap w:val="false"/>
          </w:tcPr>
          <w:p>
            <w:pPr>
              <w:pStyle w:val="828"/>
              <w:rPr>
                <w:rFonts w:ascii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01.01.2022 по 30.06.2022 –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1032,86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8"/>
              <w:rPr>
                <w:rFonts w:ascii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01.07.2022 по 30.11.2022 –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1032,86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8"/>
              <w:rPr>
                <w:rFonts w:ascii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01.12.2022 по 31.12.2022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1049,89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661" w:type="dxa"/>
            <w:vAlign w:val="top"/>
            <w:vMerge w:val="continue"/>
            <w:textDirection w:val="lrTb"/>
            <w:noWrap w:val="false"/>
          </w:tcPr>
          <w:p>
            <w:pPr>
              <w:pStyle w:val="8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8" w:type="dxa"/>
            <w:vAlign w:val="center"/>
            <w:textDirection w:val="lrTb"/>
            <w:noWrap w:val="false"/>
          </w:tcPr>
          <w:p>
            <w:pPr>
              <w:pStyle w:val="828"/>
              <w:rPr>
                <w:rFonts w:ascii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01.01.2023 по 31.12.2023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1049,89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661" w:type="dxa"/>
            <w:vAlign w:val="top"/>
            <w:vMerge w:val="continue"/>
            <w:textDirection w:val="lrTb"/>
            <w:noWrap w:val="false"/>
          </w:tcPr>
          <w:p>
            <w:pPr>
              <w:pStyle w:val="8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8" w:type="dxa"/>
            <w:vAlign w:val="center"/>
            <w:textDirection w:val="lrTb"/>
            <w:noWrap w:val="false"/>
          </w:tcPr>
          <w:p>
            <w:pPr>
              <w:pStyle w:val="828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1049,89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/>
          </w:p>
          <w:p>
            <w:pPr>
              <w:pStyle w:val="828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1049,89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661" w:type="dxa"/>
            <w:vAlign w:val="top"/>
            <w:vMerge w:val="continue"/>
            <w:textDirection w:val="lrTb"/>
            <w:noWrap w:val="false"/>
          </w:tcPr>
          <w:p>
            <w:pPr>
              <w:pStyle w:val="8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8" w:type="dxa"/>
            <w:vAlign w:val="center"/>
            <w:textDirection w:val="lrTb"/>
            <w:noWrap w:val="false"/>
          </w:tcPr>
          <w:p>
            <w:pPr>
              <w:pStyle w:val="828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 по 30.06.2025 – 1315,75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8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– 1300,07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top"/>
            <w:vMerge w:val="restart"/>
            <w:textDirection w:val="lrTb"/>
            <w:noWrap w:val="false"/>
          </w:tcPr>
          <w:p>
            <w:pPr>
              <w:pStyle w:val="82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661" w:type="dxa"/>
            <w:vAlign w:val="top"/>
            <w:vMerge w:val="restart"/>
            <w:textDirection w:val="lrTb"/>
            <w:noWrap w:val="false"/>
          </w:tcPr>
          <w:p>
            <w:pPr>
              <w:pStyle w:val="828"/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begin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instrText xml:space="preserve">HYPERLINK consultantplus://offline/ref=2869926D8408B4250D1CEAFC193A680504C51FD7CC599F46C4F484592405257689A119F15ABC6092981759210A2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instrText xml:space="preserve">47692E9F5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instrText xml:space="preserve">930EF994934D9D72447CH0D4Q 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separate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&lt;*&gt;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end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,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pStyle w:val="828"/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8" w:type="dxa"/>
            <w:vAlign w:val="center"/>
            <w:textDirection w:val="lrTb"/>
            <w:noWrap w:val="false"/>
          </w:tcPr>
          <w:p>
            <w:pPr>
              <w:pStyle w:val="828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01.01.2021 по 30.06.2021 – 50,48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8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01.07.2021 по 31.12.2021 – 52,19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661" w:type="dxa"/>
            <w:vAlign w:val="top"/>
            <w:vMerge w:val="continue"/>
            <w:textDirection w:val="lrTb"/>
            <w:noWrap w:val="false"/>
          </w:tcPr>
          <w:p>
            <w:pPr>
              <w:pStyle w:val="8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8" w:type="dxa"/>
            <w:vAlign w:val="center"/>
            <w:textDirection w:val="lrTb"/>
            <w:noWrap w:val="false"/>
          </w:tcPr>
          <w:p>
            <w:pPr>
              <w:pStyle w:val="828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01.01.2022 по 30.06.2022 – 52,19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8"/>
              <w:rPr>
                <w:rFonts w:ascii="Liberation Sans" w:hAnsi="Liberation Sans" w:cs="Liberation Sans"/>
                <w:sz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01.07.2022 по 30.11.2022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53,96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8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01.12.2022 по 31.12.2022 – 58,81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661" w:type="dxa"/>
            <w:vAlign w:val="top"/>
            <w:vMerge w:val="continue"/>
            <w:textDirection w:val="lrTb"/>
            <w:noWrap w:val="false"/>
          </w:tcPr>
          <w:p>
            <w:pPr>
              <w:pStyle w:val="8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8" w:type="dxa"/>
            <w:vAlign w:val="center"/>
            <w:textDirection w:val="lrTb"/>
            <w:noWrap w:val="false"/>
          </w:tcPr>
          <w:p>
            <w:pPr>
              <w:pStyle w:val="828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01.01.2023 по 31.12.2023 – 58,81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661" w:type="dxa"/>
            <w:vAlign w:val="top"/>
            <w:vMerge w:val="continue"/>
            <w:textDirection w:val="lrTb"/>
            <w:noWrap w:val="false"/>
          </w:tcPr>
          <w:p>
            <w:pPr>
              <w:pStyle w:val="8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8" w:type="dxa"/>
            <w:vAlign w:val="center"/>
            <w:textDirection w:val="lrTb"/>
            <w:noWrap w:val="false"/>
          </w:tcPr>
          <w:p>
            <w:pPr>
              <w:pStyle w:val="828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01.01.2024 по 30.06.2024 – 58,81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8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01.07.2024 по 31.12.2024 – 63,51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661" w:type="dxa"/>
            <w:vAlign w:val="top"/>
            <w:vMerge w:val="continue"/>
            <w:textDirection w:val="lrTb"/>
            <w:noWrap w:val="false"/>
          </w:tcPr>
          <w:p>
            <w:pPr>
              <w:pStyle w:val="8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8" w:type="dxa"/>
            <w:vAlign w:val="center"/>
            <w:textDirection w:val="lrTb"/>
            <w:noWrap w:val="false"/>
          </w:tcPr>
          <w:p>
            <w:pPr>
              <w:pStyle w:val="828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8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top"/>
            <w:vMerge w:val="restart"/>
            <w:textDirection w:val="lrTb"/>
            <w:noWrap w:val="false"/>
          </w:tcPr>
          <w:p>
            <w:pPr>
              <w:pStyle w:val="82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3.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661" w:type="dxa"/>
            <w:vAlign w:val="top"/>
            <w:vMerge w:val="restart"/>
            <w:textDirection w:val="lrTb"/>
            <w:noWrap w:val="false"/>
          </w:tcPr>
          <w:p>
            <w:pPr>
              <w:pStyle w:val="828"/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begin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instrText xml:space="preserve">HYPERLINK consultantplus://offline/ref=2869926D8408B4250D1CEAFC193A680504C51FD7CC599F46C4F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instrText xml:space="preserve">484592405257689A119F15ABC60929817592109247692E9F5930EF994934D9D72447CH0D4Q 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separate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&lt;**&gt;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end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,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pStyle w:val="828"/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begin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instrText xml:space="preserve">HYPERLINK consultantplus://offline/ref=2869926D8408B4250D1CEAFC193A680504C51FD7CC599F46C4F484592405257689A119F15ABC60929817592108247692E9F5930EF9949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instrText xml:space="preserve">34D9D72447CH0D4Q 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separate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&lt;***&gt;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end"/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8" w:type="dxa"/>
            <w:vAlign w:val="center"/>
            <w:textDirection w:val="lrTb"/>
            <w:noWrap w:val="false"/>
          </w:tcPr>
          <w:p>
            <w:pPr>
              <w:pStyle w:val="828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01.01.2021 по 30.06.2021 – 60,58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8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01.07.2021 по 31.12.2021 – 62,63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661" w:type="dxa"/>
            <w:vAlign w:val="top"/>
            <w:vMerge w:val="continue"/>
            <w:textDirection w:val="lrTb"/>
            <w:noWrap w:val="false"/>
          </w:tcPr>
          <w:p>
            <w:pPr>
              <w:pStyle w:val="8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8" w:type="dxa"/>
            <w:vAlign w:val="center"/>
            <w:textDirection w:val="lrTb"/>
            <w:noWrap w:val="false"/>
          </w:tcPr>
          <w:p>
            <w:pPr>
              <w:pStyle w:val="828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01.01.2022 по 30.06.2022 – 62,63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8"/>
              <w:rPr>
                <w:rFonts w:ascii="Liberation Sans" w:hAnsi="Liberation Sans" w:cs="Liberation Sans"/>
                <w:sz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01.07.2022 по 30.11.2022 –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64,75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8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01.12.2022 по 31.12.2022 – 70,57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661" w:type="dxa"/>
            <w:vAlign w:val="top"/>
            <w:vMerge w:val="continue"/>
            <w:textDirection w:val="lrTb"/>
            <w:noWrap w:val="false"/>
          </w:tcPr>
          <w:p>
            <w:pPr>
              <w:pStyle w:val="8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8" w:type="dxa"/>
            <w:vAlign w:val="center"/>
            <w:textDirection w:val="lrTb"/>
            <w:noWrap w:val="false"/>
          </w:tcPr>
          <w:p>
            <w:pPr>
              <w:pStyle w:val="828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01.01.2023 по 31.12.2023 – 70,57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661" w:type="dxa"/>
            <w:vAlign w:val="top"/>
            <w:vMerge w:val="continue"/>
            <w:textDirection w:val="lrTb"/>
            <w:noWrap w:val="false"/>
          </w:tcPr>
          <w:p>
            <w:pPr>
              <w:pStyle w:val="8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8" w:type="dxa"/>
            <w:vAlign w:val="center"/>
            <w:textDirection w:val="lrTb"/>
            <w:noWrap w:val="false"/>
          </w:tcPr>
          <w:p>
            <w:pPr>
              <w:pStyle w:val="828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01.01.2024 по 30.06.20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24 – 70,57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8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01.07.2024 по 31.12.2024 – 76,21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1" w:type="dxa"/>
            <w:vAlign w:val="top"/>
            <w:vMerge w:val="continue"/>
            <w:textDirection w:val="lrTb"/>
            <w:noWrap w:val="false"/>
          </w:tcPr>
          <w:p>
            <w:pPr>
              <w:pStyle w:val="8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8" w:type="dxa"/>
            <w:vAlign w:val="center"/>
            <w:textDirection w:val="lrTb"/>
            <w:noWrap w:val="false"/>
          </w:tcPr>
          <w:p>
            <w:pPr>
              <w:pStyle w:val="828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01.01.2025 по 30.06.2025 –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8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Потребители, имеющие право на льготные тарифы в сфере водоснабжения, указанные в пунктах 2 - 4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&lt;**&gt; Потребители, имеющие право на льготные тарифы в сфере водоснабжения, указанные в пункте 1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ию выпадающих доходов организациям коммунального комплекса». </w:t>
      </w:r>
      <w:r/>
    </w:p>
    <w:p>
      <w:pPr>
        <w:ind w:firstLine="708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о кодекса Российской Федерации (часть вторая).    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                      </w:t>
      </w:r>
      <w:r/>
    </w:p>
    <w:p>
      <w:pPr>
        <w:pStyle w:val="828"/>
        <w:ind w:firstLine="540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Льготные тарифы на холодную воду также применяются в качестве компонентов для расчета тарифов на горячую воду в закрытых системах горячего водоснабжения.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            ».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907" w:right="1134" w:bottom="426" w:left="992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8"/>
        <w:ind w:left="720" w:hanging="360"/>
      </w:pPr>
      <w:rPr>
        <w:rFonts w:ascii="PT Astra Serif" w:hAnsi="PT Astra Serif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2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8"/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8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8"/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8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8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8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8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8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8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8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8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8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8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8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8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8"/>
        <w:ind w:left="6840" w:hanging="180"/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8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8"/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8"/>
        <w:ind w:left="475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8"/>
        <w:ind w:left="5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8"/>
        <w:ind w:left="6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8"/>
        <w:ind w:left="7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8"/>
        <w:ind w:left="7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8"/>
        <w:ind w:left="8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8"/>
        <w:ind w:left="9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8"/>
        <w:ind w:left="9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8"/>
        <w:ind w:left="10667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>
    <w:name w:val="Heading 1"/>
    <w:link w:val="6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1">
    <w:name w:val="Heading 1 Char"/>
    <w:link w:val="650"/>
    <w:uiPriority w:val="9"/>
    <w:rPr>
      <w:rFonts w:ascii="Arial" w:hAnsi="Arial" w:eastAsia="Arial" w:cs="Arial"/>
      <w:sz w:val="40"/>
      <w:szCs w:val="40"/>
    </w:rPr>
  </w:style>
  <w:style w:type="paragraph" w:styleId="652">
    <w:name w:val="Heading 2"/>
    <w:link w:val="6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3">
    <w:name w:val="Heading 2 Char"/>
    <w:link w:val="652"/>
    <w:uiPriority w:val="9"/>
    <w:rPr>
      <w:rFonts w:ascii="Arial" w:hAnsi="Arial" w:eastAsia="Arial" w:cs="Arial"/>
      <w:sz w:val="34"/>
    </w:rPr>
  </w:style>
  <w:style w:type="paragraph" w:styleId="654">
    <w:name w:val="Heading 3"/>
    <w:link w:val="6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5">
    <w:name w:val="Heading 3 Char"/>
    <w:link w:val="654"/>
    <w:uiPriority w:val="9"/>
    <w:rPr>
      <w:rFonts w:ascii="Arial" w:hAnsi="Arial" w:eastAsia="Arial" w:cs="Arial"/>
      <w:sz w:val="30"/>
      <w:szCs w:val="30"/>
    </w:rPr>
  </w:style>
  <w:style w:type="paragraph" w:styleId="656">
    <w:name w:val="Heading 4"/>
    <w:link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7">
    <w:name w:val="Heading 4 Char"/>
    <w:link w:val="656"/>
    <w:uiPriority w:val="9"/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link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9">
    <w:name w:val="Heading 5 Char"/>
    <w:link w:val="658"/>
    <w:uiPriority w:val="9"/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link w:val="6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1">
    <w:name w:val="Heading 6 Char"/>
    <w:link w:val="660"/>
    <w:uiPriority w:val="9"/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link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7 Char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4">
    <w:name w:val="Heading 8"/>
    <w:link w:val="6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5">
    <w:name w:val="Heading 8 Char"/>
    <w:link w:val="664"/>
    <w:uiPriority w:val="9"/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link w:val="6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Heading 9 Char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68">
    <w:name w:val="List Paragraph"/>
    <w:uiPriority w:val="34"/>
    <w:qFormat/>
    <w:pPr>
      <w:contextualSpacing/>
      <w:ind w:left="720"/>
    </w:pPr>
  </w:style>
  <w:style w:type="paragraph" w:styleId="669">
    <w:name w:val="No Spacing"/>
    <w:uiPriority w:val="1"/>
    <w:qFormat/>
    <w:pPr>
      <w:spacing w:before="0" w:after="0" w:line="240" w:lineRule="auto"/>
    </w:pPr>
  </w:style>
  <w:style w:type="paragraph" w:styleId="670">
    <w:name w:val="Title"/>
    <w:link w:val="6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1">
    <w:name w:val="Title Char"/>
    <w:link w:val="670"/>
    <w:uiPriority w:val="10"/>
    <w:rPr>
      <w:sz w:val="48"/>
      <w:szCs w:val="48"/>
    </w:rPr>
  </w:style>
  <w:style w:type="paragraph" w:styleId="672">
    <w:name w:val="Subtitle"/>
    <w:link w:val="673"/>
    <w:uiPriority w:val="11"/>
    <w:qFormat/>
    <w:pPr>
      <w:spacing w:before="200" w:after="200"/>
    </w:pPr>
    <w:rPr>
      <w:sz w:val="24"/>
      <w:szCs w:val="24"/>
    </w:rPr>
  </w:style>
  <w:style w:type="character" w:styleId="673">
    <w:name w:val="Subtitle Char"/>
    <w:link w:val="672"/>
    <w:uiPriority w:val="11"/>
    <w:rPr>
      <w:sz w:val="24"/>
      <w:szCs w:val="24"/>
    </w:rPr>
  </w:style>
  <w:style w:type="paragraph" w:styleId="674">
    <w:name w:val="Quote"/>
    <w:link w:val="675"/>
    <w:uiPriority w:val="29"/>
    <w:qFormat/>
    <w:pPr>
      <w:ind w:left="720" w:right="720"/>
    </w:pPr>
    <w:rPr>
      <w:i/>
    </w:rPr>
  </w:style>
  <w:style w:type="character" w:styleId="675">
    <w:name w:val="Quote Char"/>
    <w:link w:val="674"/>
    <w:uiPriority w:val="29"/>
    <w:rPr>
      <w:i/>
    </w:rPr>
  </w:style>
  <w:style w:type="paragraph" w:styleId="676">
    <w:name w:val="Intense Quote"/>
    <w:link w:val="6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7">
    <w:name w:val="Intense Quote Char"/>
    <w:link w:val="676"/>
    <w:uiPriority w:val="30"/>
    <w:rPr>
      <w:i/>
    </w:rPr>
  </w:style>
  <w:style w:type="paragraph" w:styleId="678">
    <w:name w:val="Header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Header Char"/>
    <w:link w:val="678"/>
    <w:uiPriority w:val="99"/>
  </w:style>
  <w:style w:type="paragraph" w:styleId="680">
    <w:name w:val="Footer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Footer Char"/>
    <w:link w:val="680"/>
    <w:uiPriority w:val="99"/>
  </w:style>
  <w:style w:type="paragraph" w:styleId="682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>
    <w:name w:val="Caption Char"/>
    <w:basedOn w:val="682"/>
    <w:link w:val="680"/>
    <w:uiPriority w:val="99"/>
  </w:style>
  <w:style w:type="table" w:styleId="68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uiPriority w:val="99"/>
    <w:unhideWhenUsed/>
    <w:rPr>
      <w:vertAlign w:val="superscript"/>
    </w:rPr>
  </w:style>
  <w:style w:type="paragraph" w:styleId="814">
    <w:name w:val="endnote text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uiPriority w:val="99"/>
    <w:semiHidden/>
    <w:unhideWhenUsed/>
    <w:rPr>
      <w:vertAlign w:val="superscript"/>
    </w:rPr>
  </w:style>
  <w:style w:type="paragraph" w:styleId="817">
    <w:name w:val="toc 1"/>
    <w:uiPriority w:val="39"/>
    <w:unhideWhenUsed/>
    <w:pPr>
      <w:ind w:left="0" w:right="0" w:firstLine="0"/>
      <w:spacing w:after="57"/>
    </w:pPr>
  </w:style>
  <w:style w:type="paragraph" w:styleId="818">
    <w:name w:val="toc 2"/>
    <w:uiPriority w:val="39"/>
    <w:unhideWhenUsed/>
    <w:pPr>
      <w:ind w:left="283" w:right="0" w:firstLine="0"/>
      <w:spacing w:after="57"/>
    </w:pPr>
  </w:style>
  <w:style w:type="paragraph" w:styleId="819">
    <w:name w:val="toc 3"/>
    <w:uiPriority w:val="39"/>
    <w:unhideWhenUsed/>
    <w:pPr>
      <w:ind w:left="567" w:right="0" w:firstLine="0"/>
      <w:spacing w:after="57"/>
    </w:pPr>
  </w:style>
  <w:style w:type="paragraph" w:styleId="820">
    <w:name w:val="toc 4"/>
    <w:uiPriority w:val="39"/>
    <w:unhideWhenUsed/>
    <w:pPr>
      <w:ind w:left="850" w:right="0" w:firstLine="0"/>
      <w:spacing w:after="57"/>
    </w:pPr>
  </w:style>
  <w:style w:type="paragraph" w:styleId="821">
    <w:name w:val="toc 5"/>
    <w:uiPriority w:val="39"/>
    <w:unhideWhenUsed/>
    <w:pPr>
      <w:ind w:left="1134" w:right="0" w:firstLine="0"/>
      <w:spacing w:after="57"/>
    </w:pPr>
  </w:style>
  <w:style w:type="paragraph" w:styleId="822">
    <w:name w:val="toc 6"/>
    <w:uiPriority w:val="39"/>
    <w:unhideWhenUsed/>
    <w:pPr>
      <w:ind w:left="1417" w:right="0" w:firstLine="0"/>
      <w:spacing w:after="57"/>
    </w:pPr>
  </w:style>
  <w:style w:type="paragraph" w:styleId="823">
    <w:name w:val="toc 7"/>
    <w:uiPriority w:val="39"/>
    <w:unhideWhenUsed/>
    <w:pPr>
      <w:ind w:left="1701" w:right="0" w:firstLine="0"/>
      <w:spacing w:after="57"/>
    </w:pPr>
  </w:style>
  <w:style w:type="paragraph" w:styleId="824">
    <w:name w:val="toc 8"/>
    <w:uiPriority w:val="39"/>
    <w:unhideWhenUsed/>
    <w:pPr>
      <w:ind w:left="1984" w:right="0" w:firstLine="0"/>
      <w:spacing w:after="57"/>
    </w:pPr>
  </w:style>
  <w:style w:type="paragraph" w:styleId="825">
    <w:name w:val="toc 9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uiPriority w:val="99"/>
    <w:unhideWhenUsed/>
    <w:pPr>
      <w:spacing w:after="0" w:afterAutospacing="0"/>
    </w:pPr>
  </w:style>
  <w:style w:type="paragraph" w:styleId="828">
    <w:name w:val="Обычный"/>
    <w:next w:val="828"/>
    <w:link w:val="828"/>
    <w:rPr>
      <w:sz w:val="24"/>
      <w:szCs w:val="24"/>
      <w:lang w:val="ru-RU" w:eastAsia="ru-RU" w:bidi="ar-SA"/>
    </w:rPr>
  </w:style>
  <w:style w:type="character" w:styleId="829">
    <w:name w:val="Основной шрифт абзаца"/>
    <w:next w:val="829"/>
    <w:link w:val="828"/>
    <w:semiHidden/>
  </w:style>
  <w:style w:type="table" w:styleId="830">
    <w:name w:val="Обычная таблица"/>
    <w:next w:val="830"/>
    <w:link w:val="828"/>
    <w:semiHidden/>
    <w:tblPr/>
  </w:style>
  <w:style w:type="numbering" w:styleId="831">
    <w:name w:val="Нет списка"/>
    <w:next w:val="831"/>
    <w:link w:val="828"/>
    <w:semiHidden/>
  </w:style>
  <w:style w:type="paragraph" w:styleId="832">
    <w:name w:val="Знак Знак Знак Знак"/>
    <w:basedOn w:val="828"/>
    <w:next w:val="832"/>
    <w:link w:val="828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33">
    <w:name w:val="ConsPlusNormal"/>
    <w:next w:val="833"/>
    <w:link w:val="828"/>
    <w:pPr>
      <w:ind w:firstLine="720"/>
    </w:pPr>
    <w:rPr>
      <w:rFonts w:ascii="Arial" w:hAnsi="Arial"/>
      <w:lang w:val="ru-RU" w:eastAsia="ru-RU" w:bidi="ar-SA"/>
    </w:rPr>
  </w:style>
  <w:style w:type="paragraph" w:styleId="834">
    <w:name w:val="ConsPlusCell"/>
    <w:next w:val="834"/>
    <w:link w:val="828"/>
    <w:pPr>
      <w:widowControl w:val="off"/>
    </w:pPr>
    <w:rPr>
      <w:rFonts w:ascii="Arial" w:hAnsi="Arial"/>
      <w:lang w:val="ru-RU" w:eastAsia="ru-RU" w:bidi="ar-SA"/>
    </w:rPr>
  </w:style>
  <w:style w:type="table" w:styleId="835">
    <w:name w:val="Сетка таблицы"/>
    <w:basedOn w:val="830"/>
    <w:next w:val="835"/>
    <w:link w:val="828"/>
    <w:tblPr/>
  </w:style>
  <w:style w:type="paragraph" w:styleId="836">
    <w:name w:val="Основной текст с отступом 2"/>
    <w:basedOn w:val="828"/>
    <w:next w:val="836"/>
    <w:link w:val="838"/>
    <w:pPr>
      <w:ind w:firstLine="720"/>
      <w:jc w:val="both"/>
    </w:pPr>
    <w:rPr>
      <w:sz w:val="28"/>
      <w:lang w:val="en-US" w:eastAsia="en-US"/>
    </w:rPr>
  </w:style>
  <w:style w:type="paragraph" w:styleId="837">
    <w:name w:val="ConsPlusNonformat"/>
    <w:next w:val="837"/>
    <w:link w:val="828"/>
    <w:rPr>
      <w:rFonts w:ascii="Courier New" w:hAnsi="Courier New"/>
      <w:lang w:val="ru-RU" w:eastAsia="ru-RU" w:bidi="ar-SA"/>
    </w:rPr>
  </w:style>
  <w:style w:type="character" w:styleId="838">
    <w:name w:val="Основной текст с отступом 2 Знак"/>
    <w:next w:val="838"/>
    <w:link w:val="836"/>
    <w:rPr>
      <w:sz w:val="28"/>
      <w:szCs w:val="24"/>
    </w:rPr>
  </w:style>
  <w:style w:type="paragraph" w:styleId="839">
    <w:name w:val="Верхний колонтитул"/>
    <w:basedOn w:val="828"/>
    <w:next w:val="839"/>
    <w:link w:val="84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0">
    <w:name w:val="Верхний колонтитул Знак"/>
    <w:next w:val="840"/>
    <w:link w:val="839"/>
    <w:rPr>
      <w:sz w:val="24"/>
      <w:szCs w:val="24"/>
    </w:rPr>
  </w:style>
  <w:style w:type="paragraph" w:styleId="841">
    <w:name w:val="Нижний колонтитул"/>
    <w:basedOn w:val="828"/>
    <w:next w:val="841"/>
    <w:link w:val="842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2">
    <w:name w:val="Нижний колонтитул Знак"/>
    <w:next w:val="842"/>
    <w:link w:val="841"/>
    <w:rPr>
      <w:sz w:val="24"/>
      <w:szCs w:val="24"/>
    </w:rPr>
  </w:style>
  <w:style w:type="paragraph" w:styleId="843">
    <w:name w:val="ConsPlusTitle"/>
    <w:next w:val="843"/>
    <w:link w:val="828"/>
    <w:pPr>
      <w:widowControl w:val="off"/>
    </w:pPr>
    <w:rPr>
      <w:b/>
      <w:bCs/>
      <w:sz w:val="24"/>
      <w:szCs w:val="24"/>
      <w:lang w:val="ru-RU" w:eastAsia="ru-RU" w:bidi="ar-SA"/>
    </w:rPr>
  </w:style>
  <w:style w:type="character" w:styleId="844">
    <w:name w:val="Гиперссылка"/>
    <w:next w:val="844"/>
    <w:link w:val="828"/>
    <w:rPr>
      <w:color w:val="0000ff"/>
      <w:u w:val="single"/>
    </w:rPr>
  </w:style>
  <w:style w:type="paragraph" w:styleId="845">
    <w:name w:val="Текст выноски"/>
    <w:basedOn w:val="828"/>
    <w:next w:val="845"/>
    <w:link w:val="846"/>
    <w:rPr>
      <w:rFonts w:ascii="Tahoma" w:hAnsi="Tahoma"/>
      <w:sz w:val="16"/>
      <w:szCs w:val="16"/>
      <w:lang w:val="en-US" w:eastAsia="en-US"/>
    </w:rPr>
  </w:style>
  <w:style w:type="character" w:styleId="846">
    <w:name w:val="Текст выноски Знак"/>
    <w:next w:val="846"/>
    <w:link w:val="845"/>
    <w:rPr>
      <w:rFonts w:ascii="Tahoma" w:hAnsi="Tahoma"/>
      <w:sz w:val="16"/>
      <w:szCs w:val="16"/>
    </w:rPr>
  </w:style>
  <w:style w:type="paragraph" w:styleId="847">
    <w:name w:val="Схема документа"/>
    <w:basedOn w:val="828"/>
    <w:next w:val="847"/>
    <w:link w:val="848"/>
    <w:rPr>
      <w:rFonts w:ascii="Tahoma" w:hAnsi="Tahoma"/>
      <w:sz w:val="16"/>
      <w:szCs w:val="16"/>
      <w:lang w:val="en-US" w:eastAsia="en-US"/>
    </w:rPr>
  </w:style>
  <w:style w:type="character" w:styleId="848">
    <w:name w:val="Схема документа Знак"/>
    <w:next w:val="848"/>
    <w:link w:val="847"/>
    <w:rPr>
      <w:rFonts w:ascii="Tahoma" w:hAnsi="Tahoma"/>
      <w:sz w:val="16"/>
      <w:szCs w:val="16"/>
    </w:rPr>
  </w:style>
  <w:style w:type="character" w:styleId="849" w:default="1">
    <w:name w:val="Default Paragraph Font"/>
    <w:uiPriority w:val="1"/>
    <w:semiHidden/>
    <w:unhideWhenUsed/>
  </w:style>
  <w:style w:type="numbering" w:styleId="850" w:default="1">
    <w:name w:val="No List"/>
    <w:uiPriority w:val="99"/>
    <w:semiHidden/>
    <w:unhideWhenUsed/>
  </w:style>
  <w:style w:type="paragraph" w:styleId="851" w:default="1">
    <w:name w:val="Normal"/>
    <w:qFormat/>
  </w:style>
  <w:style w:type="table" w:styleId="85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modified xsi:type="dcterms:W3CDTF">2023-12-17T10:32:01Z</dcterms:modified>
</cp:coreProperties>
</file>